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04"/>
        <w:gridCol w:w="1247"/>
        <w:gridCol w:w="417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Style19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left="-284" w:right="-108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 w:hanging="0"/>
              <w:jc w:val="center"/>
              <w:rPr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 w:hanging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left="-142" w:right="-144" w:firstLine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 w:hanging="0"/>
              <w:jc w:val="center"/>
              <w:rPr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Style19"/>
              <w:widowControl w:val="false"/>
              <w:spacing w:lineRule="auto" w:line="360"/>
              <w:ind w:left="-142" w:right="-144" w:hanging="0"/>
              <w:jc w:val="center"/>
              <w:rPr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Style19"/>
              <w:widowControl w:val="fals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Style19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Style19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Style19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Style19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Style19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Style19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3.08.2024 г.</w:t>
            </w:r>
          </w:p>
        </w:tc>
        <w:tc>
          <w:tcPr>
            <w:tcW w:w="417" w:type="dxa"/>
            <w:tcBorders/>
          </w:tcPr>
          <w:p>
            <w:pPr>
              <w:pStyle w:val="Normal"/>
              <w:widowControl w:val="false"/>
              <w:ind w:left="-142" w:right="-144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237-20-3-2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Style19"/>
              <w:widowControl w:val="fals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7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Style19"/>
              <w:widowControl w:val="fals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на территории Новосибирской области на 24.08.2024 г.</w:t>
      </w:r>
    </w:p>
    <w:p>
      <w:pPr>
        <w:pStyle w:val="Normal"/>
        <w:jc w:val="center"/>
        <w:rPr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b/>
          <w:sz w:val="28"/>
          <w:szCs w:val="28"/>
          <w:shd w:fill="FFFFFF" w:val="clear"/>
        </w:rPr>
        <w:t>Опасные гидрометеорологические явления</w:t>
      </w:r>
    </w:p>
    <w:tbl>
      <w:tblPr>
        <w:tblW w:w="9894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noVBand="1" w:val="04a0" w:noHBand="0" w:lastColumn="0" w:firstColumn="1" w:lastRow="0" w:firstRow="1"/>
      </w:tblPr>
      <w:tblGrid>
        <w:gridCol w:w="2234"/>
        <w:gridCol w:w="7659"/>
      </w:tblGrid>
      <w:tr>
        <w:trPr>
          <w:trHeight w:val="745" w:hRule="atLeast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  <w:shd w:fill="FFFFFF" w:val="clear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firstLine="283"/>
              <w:jc w:val="both"/>
              <w:rPr/>
            </w:pP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Не прогнозируются.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b/>
          <w:bCs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ind w:firstLine="567"/>
        <w:jc w:val="both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Службы МОС в г.Новосибирск за 21-22 августа Формальдегид - до 1,2 ПДК; Фтороводород - до 1,0 ПДК.</w:t>
      </w:r>
    </w:p>
    <w:p>
      <w:pPr>
        <w:pStyle w:val="Normal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b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113,23 мБС (Балтийской системы измерений), сброс 1700 м³/с, приток 1710 м³/с. Уровень воды в реке Обь в районе</w:t>
        <w:br/>
        <w:t>г. Новосибирск находится на отметке 68 см.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567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 Лесопожарная обстановка.</w:t>
      </w:r>
    </w:p>
    <w:p>
      <w:pPr>
        <w:pStyle w:val="Normal"/>
        <w:ind w:firstLine="567"/>
        <w:jc w:val="both"/>
        <w:rPr/>
      </w:pPr>
      <w:r>
        <w:rPr>
          <w:bCs/>
          <w:sz w:val="28"/>
          <w:szCs w:val="28"/>
        </w:rPr>
        <w:t>По данным ФГБУ «Западно - Сибирское УГМС» на территории Новосибирской области установилась пожароопасность 1-го и</w:t>
        <w:br/>
        <w:t>2-го классов.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данным космического мониторинга за сутки на территории области термические точки не зафиксированы (АППГ - 1, из них в 5-ти километровой зоне - 1). Всего с начала года зарегистрировано - 764 термические точки (АППГ - 8175), из них в 5-ти километровой зоне - 636 (АППГ - 5108).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Государственное автономное учреждение «Новосибирская база авиационной охраны лесов» авиамониторинг территории области не проводило. 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b/>
          <w:color w:val="000000"/>
          <w:sz w:val="28"/>
          <w:szCs w:val="28"/>
        </w:rPr>
        <w:t>1.6. Геомагнитная обстановка.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1.7. Сейсмическая обстановка.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1.9. Эпизоотическая обстановка.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1.10. Пожарная обстановка.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прошедшие сутки на территории области зарегистрировано 14 пожаров, из них 2 в жилом секторе, погибших и травмированных нет.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Причины пожаров: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прочие причины по группе НПУЭ эл.оборудования.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b/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1.11. Обстановка на объектах энергетики.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>
      <w:pPr>
        <w:pStyle w:val="Normal"/>
        <w:ind w:firstLine="567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1.12. Обстановка на объектах ЖКХ.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1.13. Обстановка на водных объектах.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>
      <w:pPr>
        <w:pStyle w:val="Normal"/>
        <w:jc w:val="both"/>
        <w:rPr>
          <w:color w:val="FF0000"/>
          <w:sz w:val="28"/>
          <w:szCs w:val="28"/>
          <w:highlight w:val="yellow"/>
        </w:rPr>
      </w:pPr>
      <w:r>
        <w:rPr>
          <w:color w:val="FF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1.14. Обстановка на дорогах.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bookmarkStart w:id="0" w:name="_Hlk133589652"/>
      <w:r>
        <w:rPr>
          <w:bCs/>
          <w:sz w:val="28"/>
          <w:szCs w:val="28"/>
        </w:rPr>
        <w:t>На дорогах области за прошедшие сутки зарегистрировано 10 ДТП, в результате которых погибших нет, 14 человек травмировано.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 августа, в связи с обильными осадками и бездорожьем, временно прекращено автобусное сообщение с 6 населенными пунктами по 2 маршрутам в Кыштовском районе.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Отрезанных населенных пунктов нет, сообщение осуществляется на автомобилях повышенной проходимости.</w:t>
      </w:r>
    </w:p>
    <w:p>
      <w:pPr>
        <w:pStyle w:val="Normal"/>
        <w:ind w:firstLine="567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01450800"/>
      <w:bookmarkStart w:id="3" w:name="_Hlk99801931"/>
      <w:bookmarkStart w:id="4" w:name="_Hlk100251273"/>
      <w:bookmarkStart w:id="5" w:name="_Hlk116826015"/>
      <w:bookmarkStart w:id="6" w:name="_Hlk112072656"/>
      <w:r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Переменная облачность, местами кратковременные дожди, грозы, по западу местами сильные дожди, днем в отдельных районах град.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Ветер юго-западный 4-9 м/с, местами порывы до 14 м/с, при грозах шквалы до 19 м/с.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Температура воздуха ночью +11,+16°С, днём +23, +28°С, местами +17, +22°С.</w:t>
      </w:r>
    </w:p>
    <w:p>
      <w:pPr>
        <w:pStyle w:val="Normal"/>
        <w:ind w:firstLine="567"/>
        <w:jc w:val="both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ожидается пониженный. </w:t>
      </w:r>
    </w:p>
    <w:p>
      <w:pPr>
        <w:pStyle w:val="Normal"/>
        <w:ind w:firstLine="567"/>
        <w:jc w:val="both"/>
        <w:rPr>
          <w:color w:val="FF0000"/>
          <w:sz w:val="28"/>
          <w:szCs w:val="28"/>
          <w:lang w:eastAsia="ru-RU"/>
        </w:rPr>
      </w:pPr>
      <w:r>
        <w:rPr>
          <w:color w:val="FF0000"/>
          <w:sz w:val="28"/>
          <w:szCs w:val="28"/>
          <w:lang w:eastAsia="ru-RU"/>
        </w:rPr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Новосибирская ГЭС работает в штатном режиме. </w:t>
      </w:r>
      <w:r>
        <w:rPr>
          <w:bCs/>
          <w:sz w:val="28"/>
          <w:szCs w:val="28"/>
        </w:rPr>
        <w:t>Сброс воды из Новосибирского водохранилища составит 1700 ± 50 м</w:t>
      </w:r>
      <w:r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>/с, при этом уровень воды по гидропосту на р. Обь г. Новосибирск ожидается в районе 70 ± 10 см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Магнитное поле Земли ожидается спокойное. Ухудшение условий КВ-радиосвязи маловероятно. Озоновый слой в норме.</w:t>
      </w:r>
    </w:p>
    <w:p>
      <w:pPr>
        <w:pStyle w:val="Normal"/>
        <w:ind w:firstLine="567"/>
        <w:jc w:val="both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Прогноз лесопожарной обстановки.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«Западно - Сибирское УГМС» на территории Новосибирской области прогнозируется пожароопасность 1-го и 2-го классов.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Вследствие выпавших и прогнозируемых осадков, маловероятно возникновения лесных и ландшафтных пожаров и их переход на населенные пункты.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>
      <w:pPr>
        <w:pStyle w:val="Normal"/>
        <w:ind w:firstLine="567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rPr/>
      </w:pPr>
      <w:r>
        <w:rPr>
          <w:b/>
          <w:sz w:val="28"/>
          <w:szCs w:val="28"/>
        </w:rPr>
        <w:t>2.6. Прогноз сейсмической обстановки.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rPr/>
      </w:pPr>
      <w:r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Возникновение ЧС маловероятно.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>
      <w:pPr>
        <w:pStyle w:val="Normal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данным </w:t>
      </w:r>
      <w:r>
        <w:rPr>
          <w:sz w:val="28"/>
          <w:szCs w:val="28"/>
        </w:rPr>
        <w:t>Роспотребнадзора по Новосибирской области</w:t>
      </w:r>
      <w:r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2.8.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b/>
          <w:sz w:val="28"/>
          <w:szCs w:val="28"/>
        </w:rPr>
        <w:t>2.9. Прогноз пожарной обстановки.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2.10. Прогноз обстановки на объектах энергетики.</w:t>
      </w:r>
    </w:p>
    <w:p>
      <w:pPr>
        <w:pStyle w:val="Normal"/>
        <w:ind w:firstLine="567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Существует вероятность возникновения аварий и перебоев в системе электроснабжения при грозах и шквалах до 19 м/с в результате выхода из строя отдельных объектов энергетики.</w:t>
      </w:r>
    </w:p>
    <w:p>
      <w:pPr>
        <w:pStyle w:val="Normal"/>
        <w:ind w:firstLine="567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67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>
      <w:pPr>
        <w:pStyle w:val="Normal"/>
        <w:ind w:firstLine="567"/>
        <w:jc w:val="both"/>
        <w:rPr>
          <w:sz w:val="28"/>
          <w:szCs w:val="28"/>
        </w:rPr>
      </w:pPr>
      <w:bookmarkStart w:id="9" w:name="_Hlk103078903"/>
      <w:r>
        <w:rPr>
          <w:sz w:val="28"/>
          <w:szCs w:val="28"/>
        </w:rPr>
        <w:t>В связи с прогнозируемыми шквалами до 19 м/с при грозах, возможно падение слабозакреплен</w:t>
      </w:r>
      <w:bookmarkStart w:id="10" w:name="_GoBack"/>
      <w:bookmarkEnd w:id="10"/>
      <w:r>
        <w:rPr>
          <w:sz w:val="28"/>
          <w:szCs w:val="28"/>
        </w:rPr>
        <w:t xml:space="preserve">ных конструкций и аварийных деревьев, срыв кровли с крыш.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Возможны перебои в работе коммунальных систем жизнеобеспечения населения в связи с проведением ремонтных работ на объектах ТЭК и ЖКХ по подготовке к отопительному периоду 2024-2025 года. Не исключены размывы грунта, порывы теплотрасс,</w:t>
      </w:r>
      <w:r>
        <w:rPr/>
        <w:t xml:space="preserve"> </w:t>
      </w:r>
      <w:r>
        <w:rPr>
          <w:sz w:val="28"/>
          <w:szCs w:val="28"/>
        </w:rPr>
        <w:t xml:space="preserve">что может послужить причиной несчастных случаев и происшествий. </w:t>
      </w:r>
      <w:bookmarkEnd w:id="9"/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>
      <w:pPr>
        <w:pStyle w:val="Normal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2.12. Прогноз происшествий на водных объектах</w:t>
      </w:r>
      <w:bookmarkEnd w:id="8"/>
      <w:r>
        <w:rPr>
          <w:b/>
          <w:sz w:val="28"/>
          <w:szCs w:val="28"/>
        </w:rPr>
        <w:t>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водным спортивным инвентарем 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>
      <w:pPr>
        <w:pStyle w:val="Normal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во время отдыха и сбора дикоросов</w:t>
      </w:r>
      <w:r>
        <w:rPr>
          <w:sz w:val="28"/>
          <w:szCs w:val="28"/>
        </w:rPr>
        <w:t>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2.14. Прогноз обстановки на дорогах.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Ухудшение видимости в осадках,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прохождением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32,398 км по 32,569 км, (г. Бердск, протяженность 0,18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43,082 км по 43,812 км (Искитимский район, протяженность 0,765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48,541 км по 48,954 км (Искитимский район, протяженность 0,413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52,710 км по 54,782 км (Искитимский район, протяженность 2,012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- с 96,527 км по 98,205 км (Черепановский район, протяженность 1,678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58,400 км по 59,473 км (Мошковский район, протяженность 1,073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62,409 км по 63,188 км (Мошковский район, протяженность 0,779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69,111 км по 70,752 км (Мошковский район, протяженность 1,641км,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71,418 км по 72,788 км (Мошковский район, протяженность 1,370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90,042 км по 91,863 км (Мошковский район, протяженность 1,443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95,180 км по 96,829 км (Болотнинский район, протяженность 1,649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105,320 км по 106,370 км (Болотнинский район, протяженность 1,350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106,672 км по 108,617 км (Болотнинский район, протяженность 1,945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107,825 км по 108,502 км (Болотнинский район, протяженность 0,677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137,388 км по 138,658 км (Болотнинский район, протяженность 1,270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139,350 км по 141,000 км (Болотнинский район, протяженность 1,650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139,038 км по 139,785 км (Болотнинский район, протяженность 0,757 км, крутой спуск (подъём)).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Регионального значения.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К-17р – с 80 по 105 км Ордынского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1" w:name="_Hlk84255620"/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В связи с прошедшими и прогнозируемыми  осадками возможно затруднение движения автотранспорта  на отдельных участках грунтовых дорог области.</w:t>
      </w:r>
    </w:p>
    <w:p>
      <w:pPr>
        <w:pStyle w:val="Normal"/>
        <w:ind w:firstLine="567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bookmarkStart w:id="12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1"/>
      <w:bookmarkEnd w:id="12"/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>
      <w:pPr>
        <w:pStyle w:val="Normal"/>
        <w:tabs>
          <w:tab w:val="clear" w:pos="720"/>
          <w:tab w:val="left" w:pos="0" w:leader="none"/>
        </w:tabs>
        <w:suppressAutoHyphens w:val="fals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микробиологический контроль за качеством воды поверхностных водоёмов, являющихся источниками питьевой воды, обратить внимание на готовность аварийных служб к устранению аварий на водопроводных и канализационных сетях;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усилить контроль за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на объектах ЖКХ;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на объектах РЭС;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контроль за безопасностью дорожного движения. Организовать проведение занятий по соблюдению детьми правил дорожного движения. </w:t>
      </w:r>
    </w:p>
    <w:p>
      <w:pPr>
        <w:pStyle w:val="Normal"/>
        <w:spacing w:lineRule="exact" w:line="310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>
      <w:pPr>
        <w:pStyle w:val="Normal"/>
        <w:spacing w:lineRule="exact" w:line="31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контроль за соблюдением населением правил поведения на водных объектах.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Повысить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>
      <w:pPr>
        <w:pStyle w:val="Normal"/>
        <w:spacing w:lineRule="exact" w:line="31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усилить меры по контролю за состоянием имеющихся источников наружного противопожарного водоснабжения;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средств для защиты населения и территорий от чрезвычайных ситуаций;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проводить обучение населения способам защиты и действиям в случае возникновения чрезвычайной ситуации;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обеспечить готовность к проведению эвакуационных мероприятий в случае возникновения чрезвычайной ситуации.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обеспечить пожарную безопасность на объектах сельскохозяйственного производства и на объектах животноводства;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 xml:space="preserve">проводить с гражданами, имеющими детей, разъяснительную работу по </w:t>
      </w:r>
    </w:p>
    <w:p>
      <w:pPr>
        <w:pStyle w:val="Normal"/>
        <w:spacing w:lineRule="exact" w:line="310"/>
        <w:jc w:val="both"/>
        <w:rPr/>
      </w:pPr>
      <w:r>
        <w:rPr>
          <w:color w:val="000000"/>
          <w:sz w:val="28"/>
          <w:szCs w:val="28"/>
        </w:rPr>
        <w:t>профилактике возникновения пожаров по причине детской шалости;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>
      <w:pPr>
        <w:pStyle w:val="Normal"/>
        <w:spacing w:lineRule="exact" w:line="310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14.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15.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/>
      </w:pPr>
      <w:bookmarkStart w:id="13" w:name="_Hlk163747752"/>
      <w:bookmarkEnd w:id="13"/>
      <w:r>
        <w:rPr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/>
      </w:pPr>
      <w:r>
        <w:rPr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/>
      </w:pPr>
      <w:r>
        <w:rPr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color w:val="000000"/>
          <w:sz w:val="28"/>
          <w:szCs w:val="28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4100195</wp:posOffset>
            </wp:positionH>
            <wp:positionV relativeFrom="paragraph">
              <wp:posOffset>34925</wp:posOffset>
            </wp:positionV>
            <wp:extent cx="836930" cy="391795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полковник вн. службы                                                                               </w:t>
      </w:r>
      <w:r>
        <w:rPr>
          <w:sz w:val="28"/>
          <w:szCs w:val="28"/>
        </w:rPr>
        <w:t>А.Н. Савицкий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исп. Чекрыжова С.Е.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 w:tgtFrame="mailto:trepuzov@mail.ru">
              <w:r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 w:tgtFrame="mailto:us@54.mchs.gov.ru">
              <w:r>
                <w:rPr>
                  <w:color w:val="000000"/>
                  <w:sz w:val="24"/>
                  <w:szCs w:val="24"/>
                </w:rPr>
                <w:t>u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 w:tgtFrame="mailto:yarcevdv@54.mchs.gov.ru">
              <w:r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color w:val="000000"/>
                <w:sz w:val="24"/>
                <w:szCs w:val="24"/>
              </w:rPr>
              <w:t>.54.</w:t>
            </w:r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 w:tgtFrame="mailto:bpsp-mchs@mail.ru">
              <w:r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color w:val="000000"/>
                  <w:sz w:val="24"/>
                  <w:szCs w:val="24"/>
                </w:rPr>
                <w:t>-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 w:tgtFrame="mailto:centrgimsnso2011@mail.ru">
              <w:r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3"/>
        <w:gridCol w:w="3547"/>
        <w:gridCol w:w="3403"/>
        <w:gridCol w:w="1556"/>
      </w:tblGrid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 w:tgtFrame="mailto:sinoptic@meteo-nso.ru">
              <w:r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color w:val="000000"/>
                  <w:sz w:val="24"/>
                  <w:szCs w:val="24"/>
                </w:rPr>
                <w:t>-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 w:tgtFrame="mailto:somc.gohcs@mail.ru">
              <w:r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 w:tgtFrame="mailto:sibcmkodo@ngs.ru">
              <w:r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3"/>
        <w:gridCol w:w="3547"/>
        <w:gridCol w:w="3403"/>
        <w:gridCol w:w="1556"/>
      </w:tblGrid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 w:tgtFrame="mailto:pnl@nso.ru">
              <w:r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 w:tgtFrame="mailto:dlh@nso.ru">
              <w:r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 w:tgtFrame="mailto:grma@nso.ru">
              <w:r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 w:tgtFrame="mailto:ksve@nso.ru">
              <w:r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3"/>
        <w:gridCol w:w="3547"/>
        <w:gridCol w:w="3403"/>
        <w:gridCol w:w="1556"/>
      </w:tblGrid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 w:tgtFrame="mailto:gitvladimir@yandex.ru">
              <w:r>
                <w:rPr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 w:tgtFrame="mailto:odiar@54.fsin.gov.ru">
              <w:r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 w:tgtFrame="mailto:scgkhl@nso.ru">
              <w:r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 w:tgtFrame="mailto:rsockanc54@rkn.gov.ru">
              <w:r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 w:tgtFrame="mailto:Upravlenie@54.rospotrebnadzor.ru">
              <w:r>
                <w:rPr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 w:tgtFrame="mailto:nsk@zsib.gosnadzor.ru">
              <w:r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gidrogeo@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 w:tgtFrame="mailto:op_nges@rushydro.ru novges@rushydro.ru">
              <w:r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 w:tgtFrame="mailto:ds_sfo3052@sib.rsnet.ru">
              <w:r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 w:tgtFrame="mailto:riac@atlas-nsk.ru">
              <w:r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 w:tgtFrame="mailto:odp-nvk@rosgranstroy.ru">
              <w:r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37"/>
        <w:gridCol w:w="3683"/>
        <w:gridCol w:w="3403"/>
        <w:gridCol w:w="1556"/>
      </w:tblGrid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ДОЛ. им.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"Завьяловский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ЦСПМиЮ им. К.С. Заслонова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 7 км. восточнее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"ОЦРТДиЮ"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"ЦОиО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"ОЦСПСиД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"Сталкер-Ареал" Искитимской районной общественной организации туристов "КАСта"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"ДОЦ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"Дзержинец"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"Бурановская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"ФорУс"; МАУ ДО ГРЦ ОООД "ФорУс" ДОЛКД "Пионер";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"ФорУс" ДОЛКД "Созвездие Юниор";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"Турград" МАУ ДО ГРЦ ОООД "ФорУс";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"ФорУс"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4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"Сибсельмаш"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"Юниор" на базе МКОУ "Сузунская ОШ-И"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  <w:br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"СОЦ "ТЕРРА";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социально -оздоровительное отделение, ДОЛ "Смена" МАУ "СОЦ "ТЕРРА";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"СОЦ "ТЕРРА";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"СОЦ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"МЦРФКиС"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"ОАК"-НАЗ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СОЦ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«Сибберри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военно-спортивный детско-юношеский палаточный лагерь "Спецназ дети.Новосибирск"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6"/>
      <w:type w:val="nextPage"/>
      <w:pgSz w:w="11906" w:h="16838"/>
      <w:pgMar w:left="1276" w:right="567" w:gutter="0" w:header="284" w:top="993" w:footer="0" w:bottom="426"/>
      <w:pgNumType w:fmt="decimal"/>
      <w:formProt w:val="false"/>
      <w:titlePg/>
      <w:textDirection w:val="lrTb"/>
      <w:docGrid w:type="default" w:linePitch="360" w:charSpace="26214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19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5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6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2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3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2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>
    <w:name w:val="Footnote Reference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Style7">
    <w:name w:val="Hyperlink"/>
    <w:qFormat/>
    <w:rPr>
      <w:color w:val="0000FF"/>
      <w:u w:val="single"/>
    </w:rPr>
  </w:style>
  <w:style w:type="character" w:styleId="Pagenumber">
    <w:name w:val="page number"/>
    <w:basedOn w:val="11"/>
    <w:qFormat/>
    <w:rPr/>
  </w:style>
  <w:style w:type="character" w:styleId="11" w:customStyle="1">
    <w:name w:val="Основной шрифт абзаца1"/>
    <w:qFormat/>
    <w:rPr/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6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2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link w:val="91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8" w:customStyle="1">
    <w:name w:val="Название Знак"/>
    <w:uiPriority w:val="10"/>
    <w:qFormat/>
    <w:rPr>
      <w:sz w:val="48"/>
      <w:szCs w:val="48"/>
    </w:rPr>
  </w:style>
  <w:style w:type="character" w:styleId="Style9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10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1" w:customStyle="1">
    <w:name w:val="Текст сноски Знак"/>
    <w:uiPriority w:val="99"/>
    <w:qFormat/>
    <w:rPr>
      <w:sz w:val="18"/>
    </w:rPr>
  </w:style>
  <w:style w:type="character" w:styleId="Style12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1" w:customStyle="1">
    <w:name w:val="Основной шрифт абзаца51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1" w:customStyle="1">
    <w:name w:val="Основной шрифт абзаца9"/>
    <w:qFormat/>
    <w:rPr/>
  </w:style>
  <w:style w:type="character" w:styleId="84" w:customStyle="1">
    <w:name w:val="Основной шрифт абзаца8"/>
    <w:qFormat/>
    <w:rPr/>
  </w:style>
  <w:style w:type="character" w:styleId="710" w:customStyle="1">
    <w:name w:val="Основной шрифт абзаца7"/>
    <w:qFormat/>
    <w:rPr/>
  </w:style>
  <w:style w:type="character" w:styleId="610" w:customStyle="1">
    <w:name w:val="Основной шрифт абзаца6"/>
    <w:qFormat/>
    <w:rPr/>
  </w:style>
  <w:style w:type="character" w:styleId="510" w:customStyle="1">
    <w:name w:val="Основной шрифт абзаца5"/>
    <w:qFormat/>
    <w:rPr/>
  </w:style>
  <w:style w:type="character" w:styleId="410" w:customStyle="1">
    <w:name w:val="Основной шрифт абзаца4"/>
    <w:qFormat/>
    <w:rPr/>
  </w:style>
  <w:style w:type="character" w:styleId="310" w:customStyle="1">
    <w:name w:val="Основной шрифт абзаца3"/>
    <w:qFormat/>
    <w:rPr/>
  </w:style>
  <w:style w:type="character" w:styleId="210" w:customStyle="1">
    <w:name w:val="Основной шрифт абзаца2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3" w:customStyle="1">
    <w:name w:val="Верхний колонтитул Знак"/>
    <w:qFormat/>
    <w:rPr/>
  </w:style>
  <w:style w:type="character" w:styleId="110" w:customStyle="1">
    <w:name w:val="Неразрешенное упоминание1"/>
    <w:qFormat/>
    <w:rPr>
      <w:color w:val="605E5C"/>
      <w:shd w:fill="E1DFDD" w:val="clear"/>
    </w:rPr>
  </w:style>
  <w:style w:type="character" w:styleId="411" w:customStyle="1">
    <w:name w:val="Стиль4 Знак"/>
    <w:qFormat/>
    <w:rPr>
      <w:color w:val="0000FF"/>
      <w:sz w:val="24"/>
      <w:szCs w:val="24"/>
    </w:rPr>
  </w:style>
  <w:style w:type="character" w:styleId="212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3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2" w:customStyle="1">
    <w:name w:val="Знак примечания1"/>
    <w:qFormat/>
    <w:rPr>
      <w:sz w:val="16"/>
      <w:szCs w:val="16"/>
    </w:rPr>
  </w:style>
  <w:style w:type="character" w:styleId="Style14" w:customStyle="1">
    <w:name w:val="Текст примечания Знак"/>
    <w:qFormat/>
    <w:rPr/>
  </w:style>
  <w:style w:type="character" w:styleId="Style15" w:customStyle="1">
    <w:name w:val="Тема примечания Знак"/>
    <w:qFormat/>
    <w:rPr>
      <w:b/>
      <w:bCs/>
    </w:rPr>
  </w:style>
  <w:style w:type="character" w:styleId="214" w:customStyle="1">
    <w:name w:val="Неразрешенное упоминание2"/>
    <w:qFormat/>
    <w:rPr>
      <w:color w:val="605E5C"/>
      <w:shd w:fill="E1DFDD" w:val="clear"/>
    </w:rPr>
  </w:style>
  <w:style w:type="character" w:styleId="Style16" w:customStyle="1">
    <w:name w:val="Нижний колонтитул Знак"/>
    <w:basedOn w:val="DefaultParagraphFont"/>
    <w:uiPriority w:val="99"/>
    <w:qFormat/>
    <w:rPr/>
  </w:style>
  <w:style w:type="character" w:styleId="Style17" w:customStyle="1">
    <w:name w:val="Основной текст Знак"/>
    <w:basedOn w:val="DefaultParagraphFont"/>
    <w:qFormat/>
    <w:rPr>
      <w:lang w:eastAsia="zh-CN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9">
    <w:name w:val="Body Text"/>
    <w:basedOn w:val="Normal"/>
    <w:link w:val="Style17"/>
    <w:qFormat/>
    <w:pPr>
      <w:widowControl w:val="false"/>
      <w:jc w:val="both"/>
    </w:pPr>
    <w:rPr/>
  </w:style>
  <w:style w:type="paragraph" w:styleId="Style20">
    <w:name w:val="List"/>
    <w:basedOn w:val="Style19"/>
    <w:qFormat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Style18"/>
    <w:next w:val="Index1"/>
    <w:qFormat/>
    <w:pPr/>
    <w:rPr/>
  </w:style>
  <w:style w:type="paragraph" w:styleId="113" w:customStyle="1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23">
    <w:name w:val="Title"/>
    <w:basedOn w:val="Normal"/>
    <w:next w:val="Style19"/>
    <w:link w:val="Style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111" w:customStyle="1">
    <w:name w:val="Заголовок11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01" w:customStyle="1">
    <w:name w:val="Заголовок110"/>
    <w:basedOn w:val="Normal"/>
    <w:next w:val="Style19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4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Style24">
    <w:name w:val="Index Heading"/>
    <w:basedOn w:val="Style18"/>
    <w:pPr/>
    <w:rPr/>
  </w:style>
  <w:style w:type="paragraph" w:styleId="Style25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6">
    <w:name w:val="Endnote Text"/>
    <w:basedOn w:val="Normal"/>
    <w:link w:val="Style12"/>
    <w:uiPriority w:val="99"/>
    <w:semiHidden/>
    <w:unhideWhenUsed/>
    <w:qFormat/>
    <w:pPr/>
    <w:rPr/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27">
    <w:name w:val="Footnote Text"/>
    <w:basedOn w:val="Normal"/>
    <w:link w:val="Style11"/>
    <w:uiPriority w:val="99"/>
    <w:semiHidden/>
    <w:unhideWhenUsed/>
    <w:qFormat/>
    <w:pPr>
      <w:spacing w:before="0" w:after="40"/>
    </w:pPr>
    <w:rPr>
      <w:sz w:val="18"/>
    </w:rPr>
  </w:style>
  <w:style w:type="paragraph" w:styleId="85">
    <w:name w:val="TOC 8"/>
    <w:basedOn w:val="Normal"/>
    <w:next w:val="Normal"/>
    <w:uiPriority w:val="39"/>
    <w:unhideWhenUsed/>
    <w:qFormat/>
    <w:pPr>
      <w:spacing w:before="0" w:after="57"/>
      <w:ind w:left="1984" w:hanging="0"/>
    </w:pPr>
    <w:rPr/>
  </w:style>
  <w:style w:type="paragraph" w:styleId="Style28" w:customStyle="1">
    <w:name w:val="Колонтитул"/>
    <w:basedOn w:val="Normal"/>
    <w:qFormat/>
    <w:pPr/>
    <w:rPr/>
  </w:style>
  <w:style w:type="paragraph" w:styleId="Style29">
    <w:name w:val="Header"/>
    <w:basedOn w:val="Style28"/>
    <w:qFormat/>
    <w:pPr/>
    <w:rPr/>
  </w:style>
  <w:style w:type="paragraph" w:styleId="92">
    <w:name w:val="TOC 9"/>
    <w:basedOn w:val="Normal"/>
    <w:next w:val="Normal"/>
    <w:uiPriority w:val="39"/>
    <w:unhideWhenUsed/>
    <w:qFormat/>
    <w:pPr>
      <w:spacing w:before="0" w:after="57"/>
      <w:ind w:left="2268" w:hanging="0"/>
    </w:pPr>
    <w:rPr/>
  </w:style>
  <w:style w:type="paragraph" w:styleId="711">
    <w:name w:val="TOC 7"/>
    <w:basedOn w:val="Normal"/>
    <w:next w:val="Normal"/>
    <w:uiPriority w:val="39"/>
    <w:unhideWhenUsed/>
    <w:qFormat/>
    <w:pPr>
      <w:spacing w:before="0" w:after="57"/>
      <w:ind w:left="1701" w:hanging="0"/>
    </w:pPr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611">
    <w:name w:val="TOC 6"/>
    <w:basedOn w:val="Normal"/>
    <w:next w:val="Normal"/>
    <w:uiPriority w:val="39"/>
    <w:unhideWhenUsed/>
    <w:qFormat/>
    <w:pPr>
      <w:spacing w:before="0" w:after="57"/>
      <w:ind w:left="1417" w:hanging="0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311">
    <w:name w:val="TOC 3"/>
    <w:basedOn w:val="Normal"/>
    <w:next w:val="Normal"/>
    <w:uiPriority w:val="39"/>
    <w:unhideWhenUsed/>
    <w:qFormat/>
    <w:pPr>
      <w:spacing w:before="0" w:after="57"/>
      <w:ind w:left="567" w:hanging="0"/>
    </w:pPr>
    <w:rPr/>
  </w:style>
  <w:style w:type="paragraph" w:styleId="215">
    <w:name w:val="TOC 2"/>
    <w:basedOn w:val="Normal"/>
    <w:next w:val="Normal"/>
    <w:uiPriority w:val="39"/>
    <w:unhideWhenUsed/>
    <w:qFormat/>
    <w:pPr>
      <w:spacing w:before="0" w:after="57"/>
      <w:ind w:left="283" w:hanging="0"/>
    </w:pPr>
    <w:rPr/>
  </w:style>
  <w:style w:type="paragraph" w:styleId="412">
    <w:name w:val="TOC 4"/>
    <w:basedOn w:val="Normal"/>
    <w:next w:val="Normal"/>
    <w:uiPriority w:val="39"/>
    <w:unhideWhenUsed/>
    <w:qFormat/>
    <w:pPr>
      <w:spacing w:before="0" w:after="57"/>
      <w:ind w:left="850" w:hanging="0"/>
    </w:pPr>
    <w:rPr/>
  </w:style>
  <w:style w:type="paragraph" w:styleId="511">
    <w:name w:val="TOC 5"/>
    <w:basedOn w:val="Normal"/>
    <w:next w:val="Normal"/>
    <w:uiPriority w:val="39"/>
    <w:unhideWhenUsed/>
    <w:qFormat/>
    <w:pPr>
      <w:spacing w:before="0" w:after="57"/>
      <w:ind w:left="1134" w:hanging="0"/>
    </w:pPr>
    <w:rPr/>
  </w:style>
  <w:style w:type="paragraph" w:styleId="Style30">
    <w:name w:val="Body Text Indent"/>
    <w:basedOn w:val="Normal"/>
    <w:qFormat/>
    <w:pPr>
      <w:ind w:left="851" w:firstLine="709"/>
      <w:jc w:val="both"/>
    </w:pPr>
    <w:rPr>
      <w:sz w:val="28"/>
    </w:rPr>
  </w:style>
  <w:style w:type="paragraph" w:styleId="Style31">
    <w:name w:val="Footer"/>
    <w:basedOn w:val="Normal"/>
    <w:link w:val="Style16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tyle32">
    <w:name w:val="Subtitle"/>
    <w:basedOn w:val="Normal"/>
    <w:next w:val="Normal"/>
    <w:link w:val="Style9"/>
    <w:uiPriority w:val="11"/>
    <w:qFormat/>
    <w:pPr>
      <w:spacing w:before="200" w:after="200"/>
    </w:pPr>
    <w:rPr>
      <w:sz w:val="24"/>
      <w:szCs w:val="24"/>
    </w:rPr>
  </w:style>
  <w:style w:type="paragraph" w:styleId="115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16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2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13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2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12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1" w:customStyle="1">
    <w:name w:val="Заголовок 91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1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116" w:customStyle="1">
    <w:name w:val="Название объекта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sz w:val="24"/>
      <w:szCs w:val="24"/>
    </w:rPr>
  </w:style>
  <w:style w:type="paragraph" w:styleId="117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8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9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821" w:customStyle="1">
    <w:name w:val="Заголовок8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3" w:customStyle="1">
    <w:name w:val="Заголовок7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4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5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3" w:customStyle="1">
    <w:name w:val="Заголовок6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4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5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3" w:customStyle="1">
    <w:name w:val="Заголовок5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4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3" w:customStyle="1">
    <w:name w:val="Заголовок3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4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5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7" w:customStyle="1">
    <w:name w:val="Заголовок2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8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9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10" w:customStyle="1">
    <w:name w:val="Заголовок1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12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3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3" w:customStyle="1">
    <w:name w:val="Заголовок9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4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5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6" w:customStyle="1">
    <w:name w:val="Заголовок8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7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8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6" w:customStyle="1">
    <w:name w:val="Заголовок7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7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8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6" w:customStyle="1">
    <w:name w:val="Заголовок6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7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8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4" w:customStyle="1">
    <w:name w:val="Заголовок5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5" w:customStyle="1">
    <w:name w:val="Название объекта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16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5" w:customStyle="1">
    <w:name w:val="Заголовок4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16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7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6" w:customStyle="1">
    <w:name w:val="Указатель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0" w:customStyle="1">
    <w:name w:val="Заголовок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4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5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right="-360" w:hanging="0"/>
    </w:pPr>
    <w:rPr>
      <w:sz w:val="16"/>
    </w:rPr>
  </w:style>
  <w:style w:type="paragraph" w:styleId="2110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1" w:customStyle="1">
    <w:name w:val="Основной текст 211"/>
    <w:basedOn w:val="Normal"/>
    <w:qFormat/>
    <w:pPr>
      <w:jc w:val="both"/>
    </w:pPr>
    <w:rPr>
      <w:sz w:val="28"/>
    </w:rPr>
  </w:style>
  <w:style w:type="paragraph" w:styleId="2112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7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6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8" w:customStyle="1">
    <w:name w:val="Основной текст 31"/>
    <w:basedOn w:val="Normal"/>
    <w:qFormat/>
    <w:pPr/>
    <w:rPr>
      <w:sz w:val="28"/>
    </w:rPr>
  </w:style>
  <w:style w:type="paragraph" w:styleId="125" w:customStyle="1">
    <w:name w:val="Стиль1"/>
    <w:basedOn w:val="317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eastAsia="zh-CN" w:val="ru-RU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zh-CN" w:val="ru-RU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eastAsia="zh-CN" w:val="ru-RU" w:bidi="ar-SA"/>
    </w:rPr>
  </w:style>
  <w:style w:type="paragraph" w:styleId="Style33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eastAsia="zh-CN" w:val="ru-RU" w:bidi="ar-SA"/>
    </w:rPr>
  </w:style>
  <w:style w:type="paragraph" w:styleId="Style34" w:customStyle="1">
    <w:name w:val="Содержимое таблицы"/>
    <w:basedOn w:val="Normal"/>
    <w:qFormat/>
    <w:pPr>
      <w:suppressLineNumbers/>
    </w:pPr>
    <w:rPr/>
  </w:style>
  <w:style w:type="paragraph" w:styleId="Style35" w:customStyle="1">
    <w:name w:val="Заголовок таблицы"/>
    <w:basedOn w:val="Style34"/>
    <w:qFormat/>
    <w:pPr>
      <w:jc w:val="center"/>
    </w:pPr>
    <w:rPr>
      <w:b/>
      <w:bCs/>
    </w:rPr>
  </w:style>
  <w:style w:type="paragraph" w:styleId="Style36" w:customStyle="1">
    <w:name w:val="Содержимое врезки"/>
    <w:basedOn w:val="Style19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ru-RU" w:bidi="ar-SA"/>
    </w:rPr>
  </w:style>
  <w:style w:type="paragraph" w:styleId="418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37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7" w:customStyle="1">
    <w:name w:val="Основной текст с отступом 22"/>
    <w:basedOn w:val="Normal"/>
    <w:qFormat/>
    <w:pPr>
      <w:spacing w:lineRule="auto" w:line="480" w:before="0" w:after="120"/>
      <w:ind w:left="283" w:hanging="0"/>
    </w:pPr>
    <w:rPr>
      <w:rFonts w:eastAsia="Calibri"/>
      <w:sz w:val="24"/>
      <w:szCs w:val="24"/>
    </w:rPr>
  </w:style>
  <w:style w:type="paragraph" w:styleId="228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3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cs="Calibri" w:eastAsia="Times New Roman"/>
      <w:color w:val="auto"/>
      <w:kern w:val="0"/>
      <w:sz w:val="20"/>
      <w:szCs w:val="20"/>
      <w:lang w:eastAsia="zh-CN" w:val="ru-RU" w:bidi="ar-SA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zh-CN" w:val="ru-RU" w:bidi="ar-SA"/>
    </w:rPr>
  </w:style>
  <w:style w:type="paragraph" w:styleId="127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styleId="affc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-1120">
    <w:name w:val="Список-таблица 1 светлая12"/>
    <w:basedOn w:val="a1"/>
    <w:uiPriority w:val="99"/>
    <w:qFormat/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 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numbering" Target="numbering.xml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<Relationship Id="rId3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ED52A-BCF3-4E4E-94D7-DEA1F969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29308</TotalTime>
  <Application>LibreOffice/7.4.1.2$Linux_X86_64 LibreOffice_project/3c58a8f3a960df8bc8fd77b461821e42c061c5f0</Application>
  <AppVersion>15.0000</AppVersion>
  <Pages>19</Pages>
  <Words>4359</Words>
  <Characters>33550</Characters>
  <CharactersWithSpaces>37335</CharactersWithSpaces>
  <Paragraphs>719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2024-03-11T08:54:00Z</dcterms:created>
  <dc:creator>Gpn_gor3</dc:creator>
  <dc:description/>
  <dc:language>ru-RU</dc:language>
  <cp:lastModifiedBy/>
  <dcterms:modified xsi:type="dcterms:W3CDTF">2024-08-23T15:45:57Z</dcterms:modified>
  <cp:revision>490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